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95" w:rsidRPr="00150495" w:rsidRDefault="00150495" w:rsidP="00150495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40"/>
          <w:szCs w:val="40"/>
          <w:lang w:eastAsia="ru-RU"/>
        </w:rPr>
      </w:pPr>
      <w:bookmarkStart w:id="0" w:name="_GoBack"/>
      <w:bookmarkEnd w:id="0"/>
      <w:proofErr w:type="gramStart"/>
      <w:r w:rsidRPr="00150495">
        <w:rPr>
          <w:rFonts w:ascii="Arial" w:eastAsia="Times New Roman" w:hAnsi="Arial" w:cs="Arial"/>
          <w:b/>
          <w:bCs/>
          <w:caps/>
          <w:color w:val="4D4D4D"/>
          <w:kern w:val="36"/>
          <w:sz w:val="40"/>
          <w:szCs w:val="40"/>
          <w:lang w:eastAsia="ru-RU"/>
        </w:rPr>
        <w:t>Приказ Министерства культуры РФ от 29 апреля 2015 г. N 1340 "</w:t>
      </w:r>
      <w:r w:rsidR="00E10D29" w:rsidRPr="00E10D29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 </w:t>
      </w:r>
      <w:r w:rsidR="00E10D29" w:rsidRPr="0015049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Приказ Министерства культуры РФ от 29 апреля 2015 г.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</w:t>
      </w:r>
      <w:r w:rsidRPr="00150495">
        <w:rPr>
          <w:rFonts w:ascii="Arial" w:eastAsia="Times New Roman" w:hAnsi="Arial" w:cs="Arial"/>
          <w:b/>
          <w:bCs/>
          <w:caps/>
          <w:color w:val="4D4D4D"/>
          <w:kern w:val="36"/>
          <w:sz w:val="40"/>
          <w:szCs w:val="40"/>
          <w:lang w:eastAsia="ru-RU"/>
        </w:rPr>
        <w:t>, осуществляющих классификацию объектов туристской индустрии, включающих гостиницы и иные средства размещения, горнолыжные трассы и пляжи"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5049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Зарегистрировано в Минюсте РФ 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5049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7 октября 2015 г.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5049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Регистрационный N 39191</w:t>
      </w:r>
    </w:p>
    <w:p w:rsid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Default="00E10D29" w:rsidP="0015049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со статьёй 5 Федерального закона от 24 ноября 1996 г. N 132-ФЗ "Об основах туристской  деятельности  в  Российской   Федерации" (Собрание законодательства Российской Федерации, 1996,  N 49,   ст. 5491; 2003, N 2, ст. 167; 2004, N 35, ст. 3607; 2007, N 7, ст. 833; 2009, N 1, ст. 17;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26, ст. 3121; N 52, ст. 6441; 2010, N 32, ст. 4298; 2011, N 27, ст. 3880; 2012, N 19,  ст. 2281),  подпунктом  5.2.36  (2)    Положения о Министерстве культуры Российской Федерации, утверждённого постановлением Правительства Российской Федерации  от  20  июля  2011  N 590   (Собрание законодательства  Российской  Федерации,  2011,  N 31,  ст. 4758;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N 44, ст. 6272; 2012, N 6, ст. 688;  N 17,  ст. 2018;  N 26,  ст. 3524;   N 37, ст. 5001; N 39,  ст. 5270;  2013,  N 3,  ст. 204;  N 8,  ст. 841;  N 31, ст. 4239; N 33, ст. 4386; N 41, ст. 5182;  N 45,  ст. 5822; 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2014,   N 9, ст. 909, N 30, ст. 4305, N 40,  ст. 5426,  N 48,  ст. 6860;  2015,   N 2, ст. 491; N 4, ст. 664; N 9, ст. 1339), 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  Утвердить  прилагаемый   порядок   аккредитации     организаций,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 классификацию объектов туристской  индустрии,   включающих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гостиницы и иные средства размещения, горнолыжные трассы и пляжи.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  Контроль  за  исполнением  настоящего  приказа      возложить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Министра А.Ю. Манилову.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                                               Г.П. </w:t>
      </w:r>
      <w:proofErr w:type="spell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Ивлиев</w:t>
      </w:r>
      <w:proofErr w:type="spell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Default="0015049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 организаций, осуществляющих классификацию объектов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туристской индустрии,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включающих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гостиницы и иные средства размещения,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горнолыжные трассы, пляжи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(утв. приказом Министерства культуры РФ от 29 апреля 2015 г. N 1340)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I. Общие положения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1.Порядок аккредитации  организаций,  осуществляющих   классификацию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туристской индустрии,  включающих  гостиницы  и  иные   средства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 горнолыжные трассы и пляжи (далее -  Порядок)  разработан 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подпунктом 5.2.36 (2) Положения о  Министерстве   культуры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 Федерации,   утверждённого   постановлением     Правительства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от 20 июля 2011  N 590  (Собрание   законодательства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2011, N 31, ст. 4758;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44, ст. 6272;  2012,   N 6,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688; N 17, ст. 2018; N 26, ст. 3524; N 37, ст. 5001; N 39, ст. 5270;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2013, N 3, ст. 204; N 8, ст. 841; N 31, ст. 4239; N 33, ст. 4386;   N 41,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5182; N 45, ст. 5822;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 N 9,  ст. 909,  N 30,  ст. 4305,   N 40,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5426,  N 48,  ст. 6860;  2015,  N 2,  ст. 491;  N 4,    ст. 664; N 9,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1339).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Аккредитация организаций, осуществляющих классификацию   объектов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туристской индустрии включает в себя: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Российской Федерации (далее - орган по аккредитации) заявки  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аккредитацию  от  организации,   претендующей   на       аккредитацию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 классификации  объектов  туристской  индустрии    (далее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заявитель);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б) рассмотрение органом по аккредитации заявки  на  аккредитацию 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представленных  заявителем,  включая  анализ    информации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ее соответствия данным, указанным в заявке на аккредитацию;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в) принятие решения об аккредитации (либо об отказе в аккредитации);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г)  оформление  и  выдача  аттестата  аккредитации,   переоформление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аттестата аккредитации, выдача дубликата аттестата аккредитации;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  Орган  по  аккредитации  проводит  аккредитацию     организаций,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   классификацию    объектов    туристской       индустрии,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 на территории данного субъекта Российской Федерации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 юридических лиц, а  также  предоставляет  в  федеральный   орган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 власти, осуществляющий функции по выработке и   реализации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политики и нормативно-правового  регулирования  в   сфере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туризма, сведения об аккредитованных организациях.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За выдачу документа об аккредитации уплачивается государственная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пошлина в размере, установленном подпунктом 73 пункта  1  статьи   333.33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Налогового  кодекса  Российской  Федерации  (Собрание    законодательства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2000, N 32, 3340; 2010, N 46, ст. 5918; 2014, N 30,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4222).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Представление заявки на аккредитацию и иных документов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5.  Заявителями  являются  юридические  лица,  подавшие    заявку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аккредитацию  для  осуществления  классификации   объектов     туристской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индустрии.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6.  Заявитель  представляет  в  орган  по  аккредитации    следующие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а) заявку на аккредитацию с указанием: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наименования юридического лица, места его нахождения;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 государственного  регистрационного  номера  записи  о    создании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 лица;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 данных  документа,  подтверждающего  факт  внесения    сведений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 лице в единый  государственный  реестр  юридических    лиц,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 адреса места нахождения органа, осуществившего государственную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объектов туристской  индустрии,  на  осуществление   классификации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 заявитель претендует (гостиницы и иные средства размещения и/или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пляжи и/или горнолыжные трассы);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- идентификационного номера налогоплательщика, данных  документа  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постановке заявителя на учет в налоговом органе;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б) копию платёжного поручения об уплате государственной пошлины  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аттестата аккредитации;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в) информацию о стоимости работ по классификации;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г) данные о разработанной и внедренной системе качества   проведения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классификации объектов туриндустрии, а также  системе  учета 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документирования результатов выполнения работ по  классификации,  в   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утвержденных организацией правил ведения делопроизводства,   архива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указанием сроков хранения документов, касающихся проведения работ  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классификации);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данные  о  наличии  в  организации,  претендующей  на   получение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аккредитации,  не  менее  3  специалистов  (экспертов),      имеющих стаж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практической работы в области  классификации  объектов  туриндустрии 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3  лет,  высшее  профессиональное  образование  в  сфере   оказания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туристских  и  гостиничных  услуг  по   направлениям       "Туризм" и/или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"Гостиничное дело", либо непрофильное высшее профессиональное образование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дополнительное профессиональное образование по программе "Классификация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 туристской  индустрии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  полученное   в         течени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предшествующих  представлению  заявки  на  аккредитацию,   подтверждаемые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наличием документов, заверенных  печатью  организации,  претендующей 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аккредитации (эксперты, выполняющие  работы  по   классификации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туристской индустрии, могут работать по трудовому (как   минимум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один) или гражданско-правовому договорам.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III. Рассмотрение заявки на аккредитацию и иных представленных заявителем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документов, принятие решения об аккредитации (либо об отказе в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аккредитации)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 органами по аккредитации в течение  10  рабочих    дней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 их поступления в орган по аккредитации.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8. Решение об аккредитации принимается органом по  аккредитации  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рассмотрения заявки  на  аккредитацию  и  иных   представленных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 документов.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9.  Отказ  заявителю  в  аккредитации  осуществляется     органом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 в случаях: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а)  непредставления  документов,  необходимых  для    аккредитации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настоящим Порядком;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б) наличие в документах, представленных  заявителем,   недостоверной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10.  Орган  по  аккредитации  письменно  информирует    заявителя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аккредитации или отказе в аккредитации (с  указанием  причин    отказа)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5 рабочих дней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соответствующего решения.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11. В  случае  получения  отказа  в  аккредитации  заявитель  может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в орган по аккредитации заявку на аккредитацию после устранения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 послуживших основанием для отказа.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V. Оформление и выдача аттестата аккредитации, переоформление аттестата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аккредитации, выдача дубликата аттестата аккредитации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12. Организации, в отношении которой органом по аккредитации принято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аккредитации,  выдается  аттестат  аккредитации,   подписанный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руководителем органа по аккредитации и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заверенный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печатью.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13. Аттестат аккредитации оформляется и выдается заявителю в течение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рабочих дней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 аккредитации.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Срок действия аттестата аккредитации составляет 3 года.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14. В случае утраты  или  порчи  аттестата  аккредитации    орган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 по заявлению аккредитованной организации в течение 3 рабочих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со дня  получения  заявления  оформляет  и  выдает  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аккредитованной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дубликат аттестата аккредитации.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VI. Заключительные положения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15. При возникновении  спорных  вопросов  в  процессе   аккредитации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 может  подать  жалобу  в  апелляционную  комиссию    органа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аккредитации.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16. При несогласии с решением апелляционной комиссии, оно может быть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обжаловано  в  порядке,  установленном   законодательством     Российской</w:t>
      </w:r>
    </w:p>
    <w:p w:rsidR="00150495" w:rsidRPr="00150495" w:rsidRDefault="00150495" w:rsidP="001504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150495" w:rsidRPr="00150495" w:rsidRDefault="00150495" w:rsidP="0015049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 документа</w:t>
      </w:r>
    </w:p>
    <w:p w:rsidR="00150495" w:rsidRPr="00150495" w:rsidRDefault="00150495" w:rsidP="0015049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аттестоваться на право классифицировать объекты туристской индустрии?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 порядок аккредитации организаций, классифицирующих объекты туристской индустрии, включающие гостиницы и иные средства размещения, горнолыжные трассы и пляжи.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Уполномоченный орган власти региона аккредитует организации, зарегистрированные на соответствующей территории. Он же предоставляет в федеральный орган власти в сфере туризма сведения об аккредитованных компаниях.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Заявитель представляет заявку на аккредитацию, копию платежного поручения об уплате госпошлины за выдачу аттестата аккредитации, информацию о стоимости работ по классификации. Подаются данные о разработанной и внедренной системе качества проведения работ указанного типа, а также системе учета и 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документирования результатов выполнения таких работ. Кроме того, нужны данные о наличии не менее 3 специалистов (экспертов), имеющих стаж работы в области классификации не менее 3 лет, высшее образование в сфере оказания туристских и гостиничных услуг по направлениям "Туризм" и/или "Гостиничное дело", либо непрофильное высшее образование и дополнительное образование по программе "Классификация объектов туристской индустрии", полученное в течени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лет, предшествующих представлению заявки.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Документы рассматриваются в течение 10 рабочих дней.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Орган по аккредитации письменно информирует заявителя об аккредитации или отказе в этом (с указанием причин) в течение 5 рабочих дней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соответствующего решения.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Аттестат оформляется и выдается заявителю в течение 10 рабочих дней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 аккредитации. Срок действия аттестата - 3 года.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Дубликат аттестата выдается в случае утраты или порчи оригинала в течение 3 рабочих дней 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соответствующего заявления.</w:t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Зарегистрировано в Минюсте РФ 7 октября 2015 г. Регистрационный № 39191. </w:t>
      </w:r>
    </w:p>
    <w:p w:rsidR="000B02B9" w:rsidRPr="00150495" w:rsidRDefault="00150495" w:rsidP="00150495">
      <w:pPr>
        <w:jc w:val="both"/>
        <w:rPr>
          <w:rFonts w:ascii="Arial" w:hAnsi="Arial" w:cs="Arial"/>
          <w:sz w:val="24"/>
          <w:szCs w:val="24"/>
        </w:rPr>
      </w:pP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1504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У: </w:t>
      </w:r>
      <w:hyperlink r:id="rId7" w:anchor="ixzz3q4XQniwG" w:history="1">
        <w:r w:rsidRPr="00150495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  <w:lang w:eastAsia="ru-RU"/>
          </w:rPr>
          <w:t>http://www.garant.ru/hotlaw/federal/664119/#ixzz3q4XQniwG</w:t>
        </w:r>
      </w:hyperlink>
    </w:p>
    <w:sectPr w:rsidR="000B02B9" w:rsidRPr="00150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6C" w:rsidRDefault="009E136C" w:rsidP="00150495">
      <w:pPr>
        <w:spacing w:after="0" w:line="240" w:lineRule="auto"/>
      </w:pPr>
      <w:r>
        <w:separator/>
      </w:r>
    </w:p>
  </w:endnote>
  <w:endnote w:type="continuationSeparator" w:id="0">
    <w:p w:rsidR="009E136C" w:rsidRDefault="009E136C" w:rsidP="0015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6C" w:rsidRDefault="009E136C" w:rsidP="00150495">
      <w:pPr>
        <w:spacing w:after="0" w:line="240" w:lineRule="auto"/>
      </w:pPr>
      <w:r>
        <w:separator/>
      </w:r>
    </w:p>
  </w:footnote>
  <w:footnote w:type="continuationSeparator" w:id="0">
    <w:p w:rsidR="009E136C" w:rsidRDefault="009E136C" w:rsidP="0015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5" w:rsidRDefault="008B3FDB" w:rsidP="00150495">
    <w:pPr>
      <w:pStyle w:val="a5"/>
      <w:pBdr>
        <w:bottom w:val="single" w:sz="6" w:space="1" w:color="auto"/>
      </w:pBdr>
      <w:jc w:val="center"/>
      <w:rPr>
        <w:rFonts w:ascii="Arial" w:eastAsia="Times New Roman" w:hAnsi="Arial" w:cs="Arial"/>
        <w:b/>
        <w:bCs/>
        <w:color w:val="4D4D4D"/>
        <w:kern w:val="36"/>
        <w:sz w:val="20"/>
        <w:szCs w:val="20"/>
        <w:lang w:eastAsia="ru-RU"/>
      </w:rPr>
    </w:pPr>
    <w:r w:rsidRPr="00933CB6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-159029</wp:posOffset>
          </wp:positionH>
          <wp:positionV relativeFrom="paragraph">
            <wp:posOffset>-120218</wp:posOffset>
          </wp:positionV>
          <wp:extent cx="819303" cy="806851"/>
          <wp:effectExtent l="0" t="0" r="0" b="0"/>
          <wp:wrapTight wrapText="bothSides">
            <wp:wrapPolygon edited="0">
              <wp:start x="0" y="0"/>
              <wp:lineTo x="0" y="20920"/>
              <wp:lineTo x="21098" y="20920"/>
              <wp:lineTo x="21098" y="0"/>
              <wp:lineTo x="0" y="0"/>
            </wp:wrapPolygon>
          </wp:wrapTight>
          <wp:docPr id="7" name="Рисунок 7" descr="C:\Users\lenovo\Desktop\всякие скаченные картинки\Министерство культуры РФ_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всякие скаченные картинки\Министерство культуры РФ_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3" cy="80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495" w:rsidRPr="00150495">
      <w:rPr>
        <w:rFonts w:ascii="Arial" w:eastAsia="Times New Roman" w:hAnsi="Arial" w:cs="Arial"/>
        <w:b/>
        <w:bCs/>
        <w:color w:val="4D4D4D"/>
        <w:kern w:val="36"/>
        <w:sz w:val="20"/>
        <w:szCs w:val="20"/>
        <w:lang w:eastAsia="ru-RU"/>
      </w:rPr>
      <w:t>Приказ Министерства культуры РФ от 29 апреля 2015 г.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</w:t>
    </w:r>
  </w:p>
  <w:p w:rsidR="00150495" w:rsidRPr="00150495" w:rsidRDefault="00150495" w:rsidP="00150495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5"/>
    <w:rsid w:val="000B02B9"/>
    <w:rsid w:val="00150495"/>
    <w:rsid w:val="001C3FE7"/>
    <w:rsid w:val="0036492C"/>
    <w:rsid w:val="006C7CA9"/>
    <w:rsid w:val="008B3FDB"/>
    <w:rsid w:val="009E136C"/>
    <w:rsid w:val="00E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49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5049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495"/>
  </w:style>
  <w:style w:type="paragraph" w:styleId="a7">
    <w:name w:val="footer"/>
    <w:basedOn w:val="a"/>
    <w:link w:val="a8"/>
    <w:uiPriority w:val="99"/>
    <w:unhideWhenUsed/>
    <w:rsid w:val="0015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495"/>
  </w:style>
  <w:style w:type="table" w:styleId="a9">
    <w:name w:val="Table Grid"/>
    <w:basedOn w:val="a1"/>
    <w:uiPriority w:val="39"/>
    <w:rsid w:val="008B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49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5049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495"/>
  </w:style>
  <w:style w:type="paragraph" w:styleId="a7">
    <w:name w:val="footer"/>
    <w:basedOn w:val="a"/>
    <w:link w:val="a8"/>
    <w:uiPriority w:val="99"/>
    <w:unhideWhenUsed/>
    <w:rsid w:val="0015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495"/>
  </w:style>
  <w:style w:type="table" w:styleId="a9">
    <w:name w:val="Table Grid"/>
    <w:basedOn w:val="a1"/>
    <w:uiPriority w:val="39"/>
    <w:rsid w:val="008B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6641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 Премьер</dc:creator>
  <cp:keywords/>
  <dc:description/>
  <cp:lastModifiedBy>JK</cp:lastModifiedBy>
  <cp:revision>5</cp:revision>
  <cp:lastPrinted>2015-11-03T11:46:00Z</cp:lastPrinted>
  <dcterms:created xsi:type="dcterms:W3CDTF">2015-10-30T17:11:00Z</dcterms:created>
  <dcterms:modified xsi:type="dcterms:W3CDTF">2016-03-18T17:43:00Z</dcterms:modified>
</cp:coreProperties>
</file>